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93A26">
      <w:pPr>
        <w:rPr>
          <w:rFonts w:hint="eastAsia" w:ascii="仿宋" w:hAnsi="仿宋" w:eastAsia="仿宋" w:cs="仿宋"/>
          <w:b/>
          <w:bCs/>
          <w:color w:val="000000"/>
          <w:kern w:val="0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Cs w:val="32"/>
        </w:rPr>
        <w:t>附件3</w:t>
      </w:r>
    </w:p>
    <w:p w14:paraId="5BE99E45">
      <w:pPr>
        <w:pStyle w:val="5"/>
        <w:snapToGrid w:val="0"/>
        <w:spacing w:line="56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教师教学基本功竞赛（决赛）</w:t>
      </w:r>
    </w:p>
    <w:p w14:paraId="3B695AAC">
      <w:pPr>
        <w:pStyle w:val="5"/>
        <w:snapToGrid w:val="0"/>
        <w:spacing w:line="560" w:lineRule="exact"/>
        <w:jc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课堂教学评分表</w:t>
      </w:r>
    </w:p>
    <w:p w14:paraId="4447183D">
      <w:pPr>
        <w:widowControl/>
        <w:spacing w:line="400" w:lineRule="atLeast"/>
        <w:ind w:firstLine="138" w:firstLineChars="50"/>
        <w:rPr>
          <w:rFonts w:eastAsia="黑体"/>
          <w:color w:val="000000"/>
          <w:kern w:val="0"/>
          <w:sz w:val="24"/>
        </w:rPr>
      </w:pPr>
      <w:r>
        <w:rPr>
          <w:color w:val="000000"/>
          <w:kern w:val="0"/>
          <w:sz w:val="28"/>
          <w:szCs w:val="28"/>
        </w:rPr>
        <w:t>选手编号</w:t>
      </w:r>
      <w:r>
        <w:rPr>
          <w:rFonts w:hint="eastAsia"/>
          <w:color w:val="000000"/>
          <w:kern w:val="0"/>
          <w:sz w:val="28"/>
          <w:szCs w:val="28"/>
        </w:rPr>
        <w:t>：</w:t>
      </w:r>
    </w:p>
    <w:tbl>
      <w:tblPr>
        <w:tblStyle w:val="2"/>
        <w:tblW w:w="94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095"/>
        <w:gridCol w:w="5749"/>
        <w:gridCol w:w="749"/>
        <w:gridCol w:w="785"/>
      </w:tblGrid>
      <w:tr w14:paraId="5BCD3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146A4">
            <w:pPr>
              <w:spacing w:line="30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8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439F0">
            <w:pPr>
              <w:spacing w:line="30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3DBF4">
            <w:pPr>
              <w:spacing w:line="30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19DEE">
            <w:pPr>
              <w:spacing w:line="30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得分</w:t>
            </w:r>
          </w:p>
        </w:tc>
      </w:tr>
      <w:tr w14:paraId="25DD6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exact"/>
          <w:jc w:val="center"/>
        </w:trPr>
        <w:tc>
          <w:tcPr>
            <w:tcW w:w="111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1A84D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课堂</w:t>
            </w:r>
          </w:p>
          <w:p w14:paraId="65553495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教学</w:t>
            </w:r>
          </w:p>
          <w:p w14:paraId="2E3FA497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(50分)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7A20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教学</w:t>
            </w:r>
          </w:p>
          <w:p w14:paraId="10065B89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内容</w:t>
            </w:r>
          </w:p>
          <w:p w14:paraId="2CFF1DC7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(</w:t>
            </w:r>
            <w:r>
              <w:rPr>
                <w:b/>
                <w:color w:val="000000"/>
                <w:kern w:val="0"/>
                <w:sz w:val="24"/>
              </w:rPr>
              <w:t>10</w:t>
            </w:r>
            <w:r>
              <w:rPr>
                <w:color w:val="000000"/>
                <w:kern w:val="0"/>
                <w:sz w:val="24"/>
              </w:rPr>
              <w:t>分)</w:t>
            </w: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49609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贴近高职学生特点，依据行业企业需求和职业岗位任务选取教学内容，突出问题导向、能力本位，有机融入思政元素，落实以学为中心要求，贴合学生学习需求与认知水平。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DF74D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5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302E1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  <w:p w14:paraId="5E709BB4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  <w:p w14:paraId="6053DABE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55A6B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B3B8E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C0DE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F13F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在教材基础上提供足够的信息量和活动量，体现新技术、新材料、新工艺、新方法。重点突出，条理清楚，内容承前启后，循序渐进。理论与实际有机结合，给学生以思考、联想、创新的启迪，渗透工匠精神，强调职业素养的养成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6CB3C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5</w:t>
            </w:r>
          </w:p>
        </w:tc>
        <w:tc>
          <w:tcPr>
            <w:tcW w:w="7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B3EF3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37710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49C3F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right w:val="single" w:color="000000" w:sz="4" w:space="0"/>
            </w:tcBorders>
            <w:noWrap w:val="0"/>
            <w:vAlign w:val="center"/>
          </w:tcPr>
          <w:p w14:paraId="09454C7D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教学</w:t>
            </w:r>
          </w:p>
          <w:p w14:paraId="602A5F38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组织</w:t>
            </w:r>
          </w:p>
          <w:p w14:paraId="507F1238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(</w:t>
            </w:r>
            <w:r>
              <w:rPr>
                <w:b/>
                <w:color w:val="000000"/>
                <w:kern w:val="0"/>
                <w:sz w:val="24"/>
              </w:rPr>
              <w:t>30</w:t>
            </w:r>
            <w:r>
              <w:rPr>
                <w:color w:val="000000"/>
                <w:kern w:val="0"/>
                <w:sz w:val="24"/>
              </w:rPr>
              <w:t>分)</w:t>
            </w: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121B8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教学设计体现完整，教学过程合理安排，以工作任务及工作过程为依据，整合教学内容，实现“教学做”一体化，设计有效的师生、生生交互学习活动。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334D7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10</w:t>
            </w:r>
          </w:p>
          <w:p w14:paraId="51821935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95D1A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  <w:p w14:paraId="7A744907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  <w:p w14:paraId="44B41438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594D0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F6C24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76997BC5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F22C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教学方法体现课程特色，灵活恰当，具有启发性和互动性，能调动学生情绪、思维和学习积极性。创新采用探究式、项目式等以学为中心的教学模式，线上线下混合设计合理。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7D3F8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10</w:t>
            </w:r>
          </w:p>
        </w:tc>
        <w:tc>
          <w:tcPr>
            <w:tcW w:w="78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199A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19131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8C5AC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689D24FF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D6AB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教学时间安排合理，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示范操作规范，</w:t>
            </w:r>
            <w:r>
              <w:rPr>
                <w:color w:val="000000"/>
                <w:kern w:val="0"/>
                <w:sz w:val="21"/>
                <w:szCs w:val="21"/>
              </w:rPr>
              <w:t>课堂应变能力强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C55F4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5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F8C9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6F08B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1025B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444B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CCAF0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信息技术与数字资源运用充分、有效，教学内容呈现恰当，精准满足学生个性化学习需求，为以学为中心提供技术支撑。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74E8">
            <w:pPr>
              <w:spacing w:line="300" w:lineRule="exact"/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b/>
                <w:color w:val="000000"/>
                <w:kern w:val="0"/>
                <w:sz w:val="24"/>
              </w:rPr>
              <w:t>5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09F05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2B44A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47764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F0CD2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语言</w:t>
            </w:r>
          </w:p>
          <w:p w14:paraId="30232C18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教态</w:t>
            </w:r>
          </w:p>
          <w:p w14:paraId="4FFE1292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(</w:t>
            </w:r>
            <w:r>
              <w:rPr>
                <w:rFonts w:hint="eastAsia"/>
                <w:b/>
                <w:color w:val="000000"/>
                <w:kern w:val="0"/>
                <w:sz w:val="24"/>
              </w:rPr>
              <w:t>5</w:t>
            </w:r>
            <w:r>
              <w:rPr>
                <w:color w:val="000000"/>
                <w:kern w:val="0"/>
                <w:sz w:val="24"/>
              </w:rPr>
              <w:t>分)</w:t>
            </w: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BD400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普通话讲课，语言清晰、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准确</w:t>
            </w:r>
            <w:r>
              <w:rPr>
                <w:color w:val="000000"/>
                <w:kern w:val="0"/>
                <w:sz w:val="21"/>
                <w:szCs w:val="21"/>
              </w:rPr>
              <w:t>生动，语速节奏恰当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C5ECA">
            <w:pPr>
              <w:spacing w:line="30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78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1E627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  <w:p w14:paraId="3BDCB7EA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4F7A8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DBAC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1620F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5EB4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教学仪表自然得体，精神饱满，亲和力强；肢体语言运用合理恰当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能拉近与学生距离，营造以学为中心的课堂氛围。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2449">
            <w:pPr>
              <w:spacing w:line="30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78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C2EF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35B1A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B4522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B3D6D64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教学</w:t>
            </w:r>
          </w:p>
          <w:p w14:paraId="51BC2A38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特色</w:t>
            </w:r>
          </w:p>
          <w:p w14:paraId="46EC13C9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(</w:t>
            </w:r>
            <w:r>
              <w:rPr>
                <w:b/>
                <w:color w:val="000000"/>
                <w:kern w:val="0"/>
                <w:sz w:val="24"/>
              </w:rPr>
              <w:t>5</w:t>
            </w:r>
            <w:r>
              <w:rPr>
                <w:color w:val="000000"/>
                <w:kern w:val="0"/>
                <w:sz w:val="24"/>
              </w:rPr>
              <w:t>分)</w:t>
            </w:r>
          </w:p>
        </w:tc>
        <w:tc>
          <w:tcPr>
            <w:tcW w:w="5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9A30E">
            <w:pPr>
              <w:spacing w:line="300" w:lineRule="exact"/>
              <w:rPr>
                <w:rFonts w:hint="eastAsia" w:eastAsia="仿宋_GB2312"/>
                <w:color w:val="000000"/>
                <w:spacing w:val="-16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教学理念先进、风格突出、感染力强、教学效果好，</w:t>
            </w:r>
            <w:r>
              <w:rPr>
                <w:rFonts w:hint="default"/>
                <w:color w:val="000000"/>
                <w:kern w:val="0"/>
                <w:sz w:val="21"/>
                <w:szCs w:val="21"/>
              </w:rPr>
              <w:t>深度践行以学为中心，教改思路新颖、方案科学；教学模式创新，借鉴推广价值大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4950C">
            <w:pPr>
              <w:spacing w:line="30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b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E9E04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14:paraId="787DD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6ECC9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评委签名</w:t>
            </w:r>
          </w:p>
        </w:tc>
        <w:tc>
          <w:tcPr>
            <w:tcW w:w="5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BC589">
            <w:pPr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A9B64">
            <w:pPr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合计得分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A0B00">
            <w:pPr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14:paraId="45C67D12">
      <w:pPr>
        <w:jc w:val="left"/>
        <w:rPr>
          <w:rFonts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 xml:space="preserve">   </w:t>
      </w:r>
      <w:r>
        <w:rPr>
          <w:rFonts w:hint="eastAsia" w:eastAsia="黑体"/>
          <w:bCs/>
          <w:color w:val="000000"/>
          <w:kern w:val="0"/>
          <w:sz w:val="28"/>
          <w:szCs w:val="28"/>
        </w:rPr>
        <w:t>说明：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评分可保留小数点后一位小数。</w:t>
      </w:r>
    </w:p>
    <w:p w14:paraId="4A2814FC"/>
    <w:sectPr>
      <w:pgSz w:w="11907" w:h="16840"/>
      <w:pgMar w:top="1871" w:right="1531" w:bottom="1474" w:left="1531" w:header="0" w:footer="850" w:gutter="0"/>
      <w:pgNumType w:fmt="numberInDash"/>
      <w:cols w:space="720" w:num="1"/>
      <w:titlePg/>
      <w:docGrid w:type="linesAndChars" w:linePitch="613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YTVkNjM2MzI2MmY5ZGViMWQwZjhjZDExN2M2ZDgifQ=="/>
  </w:docVars>
  <w:rsids>
    <w:rsidRoot w:val="00000000"/>
    <w:rsid w:val="01EB5595"/>
    <w:rsid w:val="0336007D"/>
    <w:rsid w:val="6E0C6271"/>
    <w:rsid w:val="715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1137</Words>
  <Characters>1153</Characters>
  <Lines>0</Lines>
  <Paragraphs>0</Paragraphs>
  <TotalTime>16</TotalTime>
  <ScaleCrop>false</ScaleCrop>
  <LinksUpToDate>false</LinksUpToDate>
  <CharactersWithSpaces>1156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2024-10-11T01:15:00Z</dcterms:created>
  <dc:creator>吕林洋</dc:creator>
  <cp:lastModifiedBy>Tiramisu</cp:lastModifiedBy>
  <dcterms:modified xsi:type="dcterms:W3CDTF">2025-11-03T05:58:12Z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6F20754F547548FC9AB118BB75278E62_12</vt:lpwstr>
  </property>
  <property fmtid="{D5CDD505-2E9C-101B-9397-08002B2CF9AE}" pid="4" name="KSOTemplateDocerSaveRecord">
    <vt:lpwstr>eyJoZGlkIjoiYWE2ODcxZTEzYmU1YjhmN2ExZDNmNzU3ZDZiZTQyMjAiLCJ1c2VySWQiOiIyMDg2OTY2MjIifQ==</vt:lpwstr>
  </property>
</Properties>
</file>